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92C98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A2ACB">
        <w:rPr>
          <w:rFonts w:ascii="Verdana" w:hAnsi="Verdana"/>
          <w:b/>
          <w:bCs/>
          <w:sz w:val="18"/>
          <w:szCs w:val="18"/>
        </w:rPr>
        <w:t>„Dodávka ocelových pražců Y“</w:t>
      </w:r>
      <w:r w:rsidR="009A2ACB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EF33CE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A2ACB">
        <w:rPr>
          <w:rFonts w:ascii="Verdana" w:hAnsi="Verdana"/>
          <w:sz w:val="18"/>
          <w:szCs w:val="18"/>
        </w:rPr>
      </w:r>
      <w:r w:rsidR="009A2AC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A2ACB">
        <w:rPr>
          <w:rFonts w:ascii="Verdana" w:hAnsi="Verdana"/>
          <w:b/>
          <w:bCs/>
          <w:sz w:val="18"/>
          <w:szCs w:val="18"/>
        </w:rPr>
        <w:t>„Dodávka ocelových pražců Y“</w:t>
      </w:r>
      <w:r w:rsidR="009A2ACB">
        <w:rPr>
          <w:rFonts w:ascii="Verdana" w:hAnsi="Verdana"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1859FA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A2ACB">
        <w:rPr>
          <w:rFonts w:ascii="Verdana" w:hAnsi="Verdana"/>
          <w:sz w:val="18"/>
          <w:szCs w:val="18"/>
        </w:rPr>
      </w:r>
      <w:r w:rsidR="009A2AC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A2ACB">
        <w:rPr>
          <w:rFonts w:ascii="Verdana" w:hAnsi="Verdana"/>
          <w:b/>
          <w:bCs/>
          <w:sz w:val="18"/>
          <w:szCs w:val="18"/>
        </w:rPr>
        <w:t>„Dodávka ocelových pražců Y“</w:t>
      </w:r>
      <w:r w:rsidR="009A2ACB">
        <w:rPr>
          <w:rFonts w:ascii="Verdana" w:hAnsi="Verdana"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998E29A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9A2ACB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1441256">
    <w:abstractNumId w:val="5"/>
  </w:num>
  <w:num w:numId="2" w16cid:durableId="827988291">
    <w:abstractNumId w:val="1"/>
  </w:num>
  <w:num w:numId="3" w16cid:durableId="1699087175">
    <w:abstractNumId w:val="2"/>
  </w:num>
  <w:num w:numId="4" w16cid:durableId="337654117">
    <w:abstractNumId w:val="4"/>
  </w:num>
  <w:num w:numId="5" w16cid:durableId="169101342">
    <w:abstractNumId w:val="0"/>
  </w:num>
  <w:num w:numId="6" w16cid:durableId="747114596">
    <w:abstractNumId w:val="6"/>
  </w:num>
  <w:num w:numId="7" w16cid:durableId="2021857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2ACB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2022-06-07T09:27:00Z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